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7462A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7462AE" w:rsidRPr="0045523E" w:rsidRDefault="007462A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462AE" w:rsidRPr="0045523E" w:rsidRDefault="007462AE" w:rsidP="007462AE">
            <w:pPr>
              <w:numPr>
                <w:ilvl w:val="0"/>
                <w:numId w:val="3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7462AE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7462AE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7462AE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7462AE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05</w:t>
            </w:r>
          </w:p>
        </w:tc>
      </w:tr>
      <w:tr w:rsidR="007462AE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Siete (07)</w:t>
            </w:r>
          </w:p>
        </w:tc>
      </w:tr>
      <w:tr w:rsidR="007462AE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7462AE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7462AE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7462A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462AE" w:rsidRPr="0045523E" w:rsidRDefault="007462AE" w:rsidP="007462AE">
            <w:pPr>
              <w:numPr>
                <w:ilvl w:val="0"/>
                <w:numId w:val="3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7462A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462AE" w:rsidRPr="0045523E" w:rsidRDefault="007462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7462AE" w:rsidRPr="0045523E" w:rsidRDefault="007462AE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OFICINA DE LABORATORIO AMBIENTAL</w:t>
            </w:r>
          </w:p>
          <w:p w:rsidR="007462AE" w:rsidRPr="0045523E" w:rsidRDefault="007462AE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</w:tc>
      </w:tr>
      <w:tr w:rsidR="007462A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462AE" w:rsidRPr="0045523E" w:rsidRDefault="007462AE" w:rsidP="007462AE">
            <w:pPr>
              <w:numPr>
                <w:ilvl w:val="0"/>
                <w:numId w:val="3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7462AE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7462AE" w:rsidRPr="0045523E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C402D6">
              <w:rPr>
                <w:rFonts w:ascii="Arial" w:hAnsi="Arial" w:cs="Arial"/>
              </w:rPr>
              <w:t xml:space="preserve">Garantizar la sostenibilidad y aplicación de los requisitos generales para la competencia de los laboratorios de ensayo y calibración con el fin de dar cumplimiento a la misión institucional. </w:t>
            </w:r>
          </w:p>
        </w:tc>
      </w:tr>
      <w:tr w:rsidR="007462A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462AE" w:rsidRPr="0045523E" w:rsidRDefault="007462AE" w:rsidP="007462AE">
            <w:pPr>
              <w:pStyle w:val="Ttulo1"/>
              <w:numPr>
                <w:ilvl w:val="0"/>
                <w:numId w:val="38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7462AE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7462AE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C402D6">
              <w:rPr>
                <w:rFonts w:ascii="Arial" w:hAnsi="Arial" w:cs="Arial"/>
              </w:rPr>
              <w:t xml:space="preserve">1. Estudiar, evaluar y conceptuar sobre los resultados de las pruebas del Laboratorio, atendiendo las solicitudes de los clientes internos y externos. </w:t>
            </w:r>
          </w:p>
          <w:p w:rsidR="007462AE" w:rsidRPr="00C402D6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7462AE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C402D6">
              <w:rPr>
                <w:rFonts w:ascii="Arial" w:hAnsi="Arial" w:cs="Arial"/>
              </w:rPr>
              <w:t>2. Dirigir y participar en actividades de investigación ambiental permitiendo la generación de información sobre las variables ambientales.</w:t>
            </w:r>
          </w:p>
          <w:p w:rsidR="007462AE" w:rsidRPr="00C402D6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7462AE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C402D6">
              <w:rPr>
                <w:rFonts w:ascii="Arial" w:hAnsi="Arial" w:cs="Arial"/>
              </w:rPr>
              <w:t>3. Dirigir la actualización del sistema de información, estadísticas, clasificación y codificación de los análisis del Laboratorio.</w:t>
            </w:r>
          </w:p>
          <w:p w:rsidR="007462AE" w:rsidRPr="00C402D6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7462AE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C402D6">
              <w:rPr>
                <w:rFonts w:ascii="Arial" w:hAnsi="Arial" w:cs="Arial"/>
              </w:rPr>
              <w:t>4. Administrar la implementación y mejora de los sistemas o requisitos de competencia del Laboratorio, manteniendo la acreditación del mismo.</w:t>
            </w:r>
          </w:p>
          <w:p w:rsidR="007462AE" w:rsidRPr="00C402D6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7462AE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C402D6">
              <w:rPr>
                <w:rFonts w:ascii="Arial" w:hAnsi="Arial" w:cs="Arial"/>
              </w:rPr>
              <w:t>5. Dirigir los estudios necesarios para la adquisición de infraestructura, equipos e insumos, que garanticen el normal funcionamiento y la sostenibilidad del Laboratorio.</w:t>
            </w:r>
          </w:p>
          <w:p w:rsidR="007462AE" w:rsidRPr="00C402D6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7462AE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C402D6">
              <w:rPr>
                <w:rFonts w:ascii="Arial" w:hAnsi="Arial" w:cs="Arial"/>
              </w:rPr>
              <w:t>6. Participar en la formulación de proyectos de gestión ambiental y en la gestión de los recursos necesarios, previa inscripción en el banco de proyectos de la Corporación.</w:t>
            </w:r>
          </w:p>
          <w:p w:rsidR="007462AE" w:rsidRPr="00C402D6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7462AE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C402D6">
              <w:rPr>
                <w:rFonts w:ascii="Arial" w:hAnsi="Arial" w:cs="Arial"/>
              </w:rPr>
              <w:t>7. Promover la venta de servicios del Laboratorio, acorde con las normas vigentes, lineamientos de la Dirección General, procesos y procedimientos.</w:t>
            </w:r>
          </w:p>
          <w:p w:rsidR="007462AE" w:rsidRPr="00C402D6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7462AE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C402D6">
              <w:rPr>
                <w:rFonts w:ascii="Arial" w:hAnsi="Arial" w:cs="Arial"/>
              </w:rPr>
              <w:t>8. Velar por el adecuado funcionamiento y responder por los bienes entregados en custodia, para el ejercicio de sus funciones.</w:t>
            </w:r>
          </w:p>
          <w:p w:rsidR="007462AE" w:rsidRPr="00C402D6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7462AE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C402D6">
              <w:rPr>
                <w:rFonts w:ascii="Arial" w:hAnsi="Arial" w:cs="Arial"/>
              </w:rPr>
              <w:t>9. Asegurar la confidencialidad, disponibilidad e integridad de la información del Laboratorio y la Corporación, acorde con las normas vigentes.</w:t>
            </w:r>
          </w:p>
          <w:p w:rsidR="007462AE" w:rsidRPr="00C402D6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7462AE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C402D6">
              <w:rPr>
                <w:rFonts w:ascii="Arial" w:hAnsi="Arial" w:cs="Arial"/>
              </w:rPr>
              <w:t>10. Participar en los grupos de trabajo que conforme la Entidad para la formulación y ejecución de proyectos tendientes a cumplir con</w:t>
            </w:r>
            <w:r>
              <w:rPr>
                <w:rFonts w:ascii="Arial" w:hAnsi="Arial" w:cs="Arial"/>
              </w:rPr>
              <w:t xml:space="preserve"> </w:t>
            </w:r>
            <w:r w:rsidRPr="00C402D6">
              <w:rPr>
                <w:rFonts w:ascii="Arial" w:hAnsi="Arial" w:cs="Arial"/>
              </w:rPr>
              <w:t>eficacia y eficiencia de la misión institucional.</w:t>
            </w:r>
          </w:p>
          <w:p w:rsidR="007462AE" w:rsidRPr="00C402D6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7462AE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C402D6">
              <w:rPr>
                <w:rFonts w:ascii="Arial" w:hAnsi="Arial" w:cs="Arial"/>
              </w:rPr>
              <w:t>11.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C402D6">
              <w:rPr>
                <w:rFonts w:ascii="Arial" w:hAnsi="Arial" w:cs="Arial"/>
              </w:rPr>
              <w:t>fin de garantizar la eficiente prestación del servicio.</w:t>
            </w:r>
          </w:p>
          <w:p w:rsidR="007462AE" w:rsidRPr="00C402D6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7462AE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C402D6">
              <w:rPr>
                <w:rFonts w:ascii="Arial" w:hAnsi="Arial" w:cs="Arial"/>
              </w:rPr>
              <w:t xml:space="preserve">12. Las demás funciones asignadas por la autoridad competente, de acuerdo con el nivel, la naturaleza y el área de desempeño del cargo. </w:t>
            </w:r>
            <w:r w:rsidRPr="0045523E">
              <w:rPr>
                <w:rFonts w:ascii="Arial" w:hAnsi="Arial" w:cs="Arial"/>
              </w:rPr>
              <w:t xml:space="preserve"> </w:t>
            </w:r>
          </w:p>
          <w:p w:rsidR="007462AE" w:rsidRPr="0045523E" w:rsidRDefault="007462AE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7462A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462AE" w:rsidRPr="0045523E" w:rsidRDefault="007462AE" w:rsidP="007462AE">
            <w:pPr>
              <w:numPr>
                <w:ilvl w:val="0"/>
                <w:numId w:val="3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7462AE" w:rsidRPr="00C402D6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7462AE" w:rsidRPr="00C402D6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402D6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7462AE" w:rsidRPr="00C402D6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402D6">
              <w:rPr>
                <w:rFonts w:ascii="Arial" w:eastAsia="Arial Unicode MS" w:hAnsi="Arial" w:cs="Arial"/>
              </w:rPr>
              <w:t>2. Contratación Estatal</w:t>
            </w:r>
          </w:p>
          <w:p w:rsidR="007462AE" w:rsidRPr="00C402D6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402D6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7462AE" w:rsidRPr="00C402D6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402D6">
              <w:rPr>
                <w:rFonts w:ascii="Arial" w:eastAsia="Arial Unicode MS" w:hAnsi="Arial" w:cs="Arial"/>
              </w:rPr>
              <w:t>4. Políticas de atención al ciudadano</w:t>
            </w:r>
          </w:p>
          <w:p w:rsidR="007462AE" w:rsidRPr="00C402D6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402D6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7462AE" w:rsidRPr="00C402D6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402D6">
              <w:rPr>
                <w:rFonts w:ascii="Arial" w:eastAsia="Arial Unicode MS" w:hAnsi="Arial" w:cs="Arial"/>
              </w:rPr>
              <w:t xml:space="preserve">6. Canales de atención y técnicas de comunicación  </w:t>
            </w:r>
          </w:p>
          <w:p w:rsidR="007462AE" w:rsidRPr="00C402D6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402D6">
              <w:rPr>
                <w:rFonts w:ascii="Arial" w:eastAsia="Arial Unicode MS" w:hAnsi="Arial" w:cs="Arial"/>
              </w:rPr>
              <w:t>7. Normatividad ambiental aplicable a la Corporación.</w:t>
            </w:r>
          </w:p>
          <w:p w:rsidR="007462AE" w:rsidRPr="00C402D6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402D6">
              <w:rPr>
                <w:rFonts w:ascii="Arial" w:eastAsia="Arial Unicode MS" w:hAnsi="Arial" w:cs="Arial"/>
              </w:rPr>
              <w:t>8. Formulación de proyectos</w:t>
            </w:r>
          </w:p>
          <w:p w:rsidR="007462AE" w:rsidRPr="00C402D6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402D6">
              <w:rPr>
                <w:rFonts w:ascii="Arial" w:eastAsia="Arial Unicode MS" w:hAnsi="Arial" w:cs="Arial"/>
              </w:rPr>
              <w:t>9.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C402D6">
              <w:rPr>
                <w:rFonts w:ascii="Arial" w:eastAsia="Arial Unicode MS" w:hAnsi="Arial" w:cs="Arial"/>
              </w:rPr>
              <w:t>Normas de requisitos generales  para competencia de los Laboratorios de ensayos (NTC ISO/IEC 17025).</w:t>
            </w:r>
          </w:p>
          <w:p w:rsidR="007462AE" w:rsidRPr="00C402D6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402D6">
              <w:rPr>
                <w:rFonts w:ascii="Arial" w:eastAsia="Arial Unicode MS" w:hAnsi="Arial" w:cs="Arial"/>
              </w:rPr>
              <w:t>10. Norma ISO 10012, sistema  de gestión de la medición. Requisitos para los procesos de medición y los equipos  de medición.</w:t>
            </w:r>
          </w:p>
          <w:p w:rsidR="007462AE" w:rsidRPr="00C402D6" w:rsidRDefault="007462A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C402D6">
              <w:rPr>
                <w:rFonts w:ascii="Arial" w:eastAsia="Arial Unicode MS" w:hAnsi="Arial" w:cs="Arial"/>
              </w:rPr>
              <w:t>11. Vocabulario internacional de metrología - VIM - JCGM200</w:t>
            </w:r>
          </w:p>
        </w:tc>
      </w:tr>
      <w:tr w:rsidR="007462A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462AE" w:rsidRPr="00C402D6" w:rsidRDefault="007462A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C402D6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7462AE" w:rsidRPr="0045523E" w:rsidRDefault="007462AE" w:rsidP="007462AE">
            <w:pPr>
              <w:numPr>
                <w:ilvl w:val="0"/>
                <w:numId w:val="3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7462AE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  <w:bookmarkStart w:id="0" w:name="_GoBack"/>
        <w:bookmarkEnd w:id="0"/>
      </w:tr>
      <w:tr w:rsidR="007462AE" w:rsidRPr="0045523E" w:rsidTr="00D65E52">
        <w:trPr>
          <w:trHeight w:val="754"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AE" w:rsidRPr="00C402D6" w:rsidRDefault="007462AE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C402D6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Título Profesional en la disciplina académica del núcleo básico del conocimiento en: Ingeniería Industrial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y afines</w:t>
            </w:r>
            <w:r w:rsidRPr="00C402D6">
              <w:rPr>
                <w:rFonts w:ascii="Arial" w:eastAsia="Arial Unicode MS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Ingeniería Ambiental, Sanitaria y a</w:t>
            </w:r>
            <w:r w:rsidRPr="00C402D6">
              <w:rPr>
                <w:rFonts w:ascii="Arial" w:eastAsia="Arial Unicode MS" w:hAnsi="Arial" w:cs="Arial"/>
                <w:sz w:val="22"/>
                <w:szCs w:val="22"/>
              </w:rPr>
              <w:t xml:space="preserve">fines, </w:t>
            </w:r>
            <w:r w:rsidRPr="00272F34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515EC6">
              <w:rPr>
                <w:rFonts w:ascii="Arial" w:eastAsia="Arial Unicode MS" w:hAnsi="Arial" w:cs="Arial"/>
                <w:sz w:val="22"/>
                <w:szCs w:val="22"/>
              </w:rPr>
              <w:t>Biología, Microbiología y Afines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; </w:t>
            </w:r>
            <w:r w:rsidRPr="00272F34">
              <w:rPr>
                <w:rFonts w:ascii="Arial" w:eastAsia="Arial Unicode MS" w:hAnsi="Arial" w:cs="Arial"/>
                <w:sz w:val="22"/>
                <w:szCs w:val="22"/>
              </w:rPr>
              <w:t>Química y Afines</w:t>
            </w:r>
          </w:p>
          <w:p w:rsidR="007462AE" w:rsidRDefault="007462AE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462AE" w:rsidRPr="0045523E" w:rsidRDefault="007462AE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402D6">
              <w:rPr>
                <w:rFonts w:ascii="Arial" w:eastAsia="Arial Unicode MS" w:hAnsi="Arial" w:cs="Arial"/>
                <w:sz w:val="22"/>
                <w:szCs w:val="22"/>
              </w:rPr>
              <w:t xml:space="preserve">Tarjeta profesional en los casos reglamentados por la ley. 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AE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7462AE" w:rsidRPr="0045523E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Doce (12) meses de experiencia profesional relacionada.</w:t>
            </w:r>
          </w:p>
          <w:p w:rsidR="007462AE" w:rsidRPr="0045523E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7462A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462AE" w:rsidRPr="0045523E" w:rsidRDefault="007462AE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462AE" w:rsidRPr="0045523E" w:rsidRDefault="007462AE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7462AE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7462AE" w:rsidRPr="0045523E" w:rsidTr="00D65E52">
        <w:trPr>
          <w:trHeight w:val="318"/>
        </w:trPr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pStyle w:val="Textocomentario"/>
              <w:spacing w:after="0"/>
              <w:rPr>
                <w:rFonts w:eastAsia="Arial Unicode M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No hay equivalencias.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7462AE" w:rsidRPr="0045523E" w:rsidRDefault="007462AE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No hay equivalencias.</w:t>
            </w:r>
          </w:p>
          <w:p w:rsidR="007462AE" w:rsidRPr="0045523E" w:rsidRDefault="007462AE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7462AE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462AE" w:rsidRPr="0045523E" w:rsidRDefault="007462AE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462AE" w:rsidRPr="0045523E" w:rsidRDefault="007462AE" w:rsidP="007462AE">
            <w:pPr>
              <w:numPr>
                <w:ilvl w:val="0"/>
                <w:numId w:val="3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7462AE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7462AE" w:rsidRPr="0045523E" w:rsidRDefault="007462AE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Pr="0045523E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7462AE" w:rsidRPr="0045523E" w:rsidRDefault="007462AE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462AE" w:rsidRPr="0045523E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Default="007462AE" w:rsidP="007462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7462AE" w:rsidRDefault="007462AE" w:rsidP="007462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7462AE" w:rsidRDefault="007462AE" w:rsidP="007462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7462AE" w:rsidRDefault="007462AE" w:rsidP="007462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7462AE" w:rsidRDefault="007462AE" w:rsidP="007462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7462AE" w:rsidRPr="00EC6586" w:rsidRDefault="007462AE" w:rsidP="007462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62AE" w:rsidRDefault="007462AE" w:rsidP="007462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7462AE" w:rsidRDefault="007462AE" w:rsidP="007462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7462AE" w:rsidRDefault="007462AE" w:rsidP="007462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7462AE" w:rsidRPr="00AE4EA5" w:rsidRDefault="007462AE" w:rsidP="007462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70B" w:rsidRDefault="007A770B" w:rsidP="0002570B">
      <w:pPr>
        <w:spacing w:after="0" w:line="240" w:lineRule="auto"/>
      </w:pPr>
      <w:r>
        <w:separator/>
      </w:r>
    </w:p>
  </w:endnote>
  <w:endnote w:type="continuationSeparator" w:id="0">
    <w:p w:rsidR="007A770B" w:rsidRDefault="007A770B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903829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70B" w:rsidRDefault="007A770B" w:rsidP="0002570B">
      <w:pPr>
        <w:spacing w:after="0" w:line="240" w:lineRule="auto"/>
      </w:pPr>
      <w:r>
        <w:separator/>
      </w:r>
    </w:p>
  </w:footnote>
  <w:footnote w:type="continuationSeparator" w:id="0">
    <w:p w:rsidR="007A770B" w:rsidRDefault="007A770B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A0AB0"/>
    <w:multiLevelType w:val="hybridMultilevel"/>
    <w:tmpl w:val="84DEC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9"/>
  </w:num>
  <w:num w:numId="5">
    <w:abstractNumId w:val="20"/>
  </w:num>
  <w:num w:numId="6">
    <w:abstractNumId w:val="8"/>
  </w:num>
  <w:num w:numId="7">
    <w:abstractNumId w:val="7"/>
  </w:num>
  <w:num w:numId="8">
    <w:abstractNumId w:val="0"/>
  </w:num>
  <w:num w:numId="9">
    <w:abstractNumId w:val="34"/>
  </w:num>
  <w:num w:numId="10">
    <w:abstractNumId w:val="18"/>
  </w:num>
  <w:num w:numId="11">
    <w:abstractNumId w:val="17"/>
  </w:num>
  <w:num w:numId="12">
    <w:abstractNumId w:val="1"/>
  </w:num>
  <w:num w:numId="13">
    <w:abstractNumId w:val="24"/>
  </w:num>
  <w:num w:numId="14">
    <w:abstractNumId w:val="2"/>
  </w:num>
  <w:num w:numId="15">
    <w:abstractNumId w:val="12"/>
  </w:num>
  <w:num w:numId="16">
    <w:abstractNumId w:val="14"/>
  </w:num>
  <w:num w:numId="17">
    <w:abstractNumId w:val="22"/>
  </w:num>
  <w:num w:numId="18">
    <w:abstractNumId w:val="33"/>
  </w:num>
  <w:num w:numId="19">
    <w:abstractNumId w:val="36"/>
  </w:num>
  <w:num w:numId="20">
    <w:abstractNumId w:val="35"/>
  </w:num>
  <w:num w:numId="21">
    <w:abstractNumId w:val="29"/>
  </w:num>
  <w:num w:numId="22">
    <w:abstractNumId w:val="26"/>
  </w:num>
  <w:num w:numId="23">
    <w:abstractNumId w:val="30"/>
  </w:num>
  <w:num w:numId="24">
    <w:abstractNumId w:val="16"/>
  </w:num>
  <w:num w:numId="25">
    <w:abstractNumId w:val="21"/>
  </w:num>
  <w:num w:numId="26">
    <w:abstractNumId w:val="28"/>
  </w:num>
  <w:num w:numId="27">
    <w:abstractNumId w:val="10"/>
  </w:num>
  <w:num w:numId="28">
    <w:abstractNumId w:val="6"/>
  </w:num>
  <w:num w:numId="29">
    <w:abstractNumId w:val="27"/>
  </w:num>
  <w:num w:numId="30">
    <w:abstractNumId w:val="5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505B"/>
    <w:rsid w:val="001652A5"/>
    <w:rsid w:val="00243511"/>
    <w:rsid w:val="002D563F"/>
    <w:rsid w:val="002E5678"/>
    <w:rsid w:val="00320055"/>
    <w:rsid w:val="00367811"/>
    <w:rsid w:val="004232D1"/>
    <w:rsid w:val="0042671D"/>
    <w:rsid w:val="00427A83"/>
    <w:rsid w:val="004461A6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462AE"/>
    <w:rsid w:val="00752157"/>
    <w:rsid w:val="00755143"/>
    <w:rsid w:val="007A770B"/>
    <w:rsid w:val="007E52E5"/>
    <w:rsid w:val="008473B1"/>
    <w:rsid w:val="00903829"/>
    <w:rsid w:val="009A5A46"/>
    <w:rsid w:val="009D2170"/>
    <w:rsid w:val="00B15A9D"/>
    <w:rsid w:val="00B21669"/>
    <w:rsid w:val="00BF507A"/>
    <w:rsid w:val="00C50769"/>
    <w:rsid w:val="00C665B2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03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382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623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2018-08-14T15:29:00Z</cp:lastPrinted>
  <dcterms:created xsi:type="dcterms:W3CDTF">2018-08-14T16:03:00Z</dcterms:created>
  <dcterms:modified xsi:type="dcterms:W3CDTF">2018-08-14T16:03:00Z</dcterms:modified>
</cp:coreProperties>
</file>